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45BC3" w:rsidRDefault="00E45BC3" w:rsidP="00E45BC3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РОССИЙСКАЯ ФЕДЕРАЦИЯ </w:t>
      </w:r>
      <w:r>
        <w:rPr>
          <w:b/>
          <w:bCs/>
          <w:sz w:val="30"/>
          <w:szCs w:val="30"/>
        </w:rPr>
        <w:br/>
        <w:t xml:space="preserve">ИРКУТСКАЯ ОБЛАСТЬ </w:t>
      </w:r>
      <w:r>
        <w:rPr>
          <w:b/>
          <w:bCs/>
          <w:sz w:val="30"/>
          <w:szCs w:val="30"/>
        </w:rPr>
        <w:br/>
        <w:t xml:space="preserve">КИРЕНСКИЙ РАЙОН </w:t>
      </w:r>
    </w:p>
    <w:p w:rsidR="00E45BC3" w:rsidRDefault="00E45BC3" w:rsidP="00E45BC3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КРИВОЛУКСКОЕ СЕЛЬСКОЕ ПОСЕЛЕНИЕ</w:t>
      </w:r>
    </w:p>
    <w:p w:rsidR="00E45BC3" w:rsidRDefault="00E45BC3" w:rsidP="00E45BC3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КРИВОЛУКСКОГО </w:t>
      </w:r>
    </w:p>
    <w:p w:rsidR="00E45BC3" w:rsidRDefault="00E45BC3" w:rsidP="00E45BC3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СЕЛЬСКОГО ПОСЕЛЕНИЯ </w:t>
      </w:r>
    </w:p>
    <w:p w:rsidR="00E45BC3" w:rsidRPr="00B543BE" w:rsidRDefault="00E45BC3" w:rsidP="00E45BC3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/>
      </w:r>
      <w:r w:rsidRPr="002C3651">
        <w:rPr>
          <w:b/>
          <w:bCs/>
          <w:sz w:val="30"/>
          <w:szCs w:val="30"/>
        </w:rPr>
        <w:t xml:space="preserve">ПОСТАНОВЛЕНИЕ </w:t>
      </w:r>
      <w:r w:rsidRPr="00B543BE">
        <w:rPr>
          <w:b/>
          <w:bCs/>
          <w:sz w:val="30"/>
          <w:szCs w:val="30"/>
        </w:rPr>
        <w:t>№</w:t>
      </w:r>
      <w:r w:rsidR="001E31D2">
        <w:rPr>
          <w:b/>
          <w:bCs/>
          <w:sz w:val="30"/>
          <w:szCs w:val="30"/>
        </w:rPr>
        <w:t xml:space="preserve"> 40</w:t>
      </w:r>
    </w:p>
    <w:p w:rsidR="00E45BC3" w:rsidRDefault="001E31D2" w:rsidP="00E45BC3">
      <w:pPr>
        <w:pStyle w:val="a3"/>
        <w:spacing w:after="300" w:afterAutospacing="0"/>
        <w:rPr>
          <w:b/>
          <w:bCs/>
        </w:rPr>
      </w:pPr>
      <w:r>
        <w:t>16.06</w:t>
      </w:r>
      <w:r w:rsidR="00AF600F">
        <w:t>.2021</w:t>
      </w:r>
      <w:r w:rsidR="00E45BC3" w:rsidRPr="00B543BE">
        <w:t>г.</w:t>
      </w:r>
      <w:r w:rsidR="00E45BC3">
        <w:rPr>
          <w:b/>
          <w:bCs/>
        </w:rPr>
        <w:tab/>
      </w:r>
      <w:r w:rsidR="00E45BC3">
        <w:rPr>
          <w:b/>
          <w:bCs/>
        </w:rPr>
        <w:tab/>
      </w:r>
      <w:r w:rsidR="00E45BC3">
        <w:rPr>
          <w:b/>
          <w:bCs/>
        </w:rPr>
        <w:tab/>
      </w:r>
      <w:r w:rsidR="00E45BC3">
        <w:rPr>
          <w:b/>
          <w:bCs/>
        </w:rPr>
        <w:tab/>
      </w:r>
      <w:r w:rsidR="00E45BC3">
        <w:rPr>
          <w:b/>
          <w:bCs/>
        </w:rPr>
        <w:tab/>
      </w:r>
      <w:r w:rsidR="00E45BC3">
        <w:rPr>
          <w:b/>
          <w:bCs/>
        </w:rPr>
        <w:tab/>
      </w:r>
      <w:r w:rsidR="00E45BC3">
        <w:rPr>
          <w:b/>
          <w:bCs/>
        </w:rPr>
        <w:tab/>
      </w:r>
      <w:r w:rsidR="00E45BC3">
        <w:rPr>
          <w:b/>
          <w:bCs/>
        </w:rPr>
        <w:tab/>
        <w:t xml:space="preserve">                   </w:t>
      </w:r>
      <w:proofErr w:type="gramStart"/>
      <w:r w:rsidR="00E45BC3" w:rsidRPr="00203BCE">
        <w:rPr>
          <w:bCs/>
        </w:rPr>
        <w:t>с</w:t>
      </w:r>
      <w:proofErr w:type="gramEnd"/>
      <w:r w:rsidR="00E45BC3" w:rsidRPr="00203BCE">
        <w:rPr>
          <w:bCs/>
        </w:rPr>
        <w:t xml:space="preserve">. </w:t>
      </w:r>
      <w:proofErr w:type="gramStart"/>
      <w:r w:rsidR="00E45BC3" w:rsidRPr="00203BCE">
        <w:rPr>
          <w:bCs/>
        </w:rPr>
        <w:t>Кривая</w:t>
      </w:r>
      <w:proofErr w:type="gramEnd"/>
      <w:r w:rsidR="00E45BC3" w:rsidRPr="00203BCE">
        <w:rPr>
          <w:bCs/>
        </w:rPr>
        <w:t xml:space="preserve"> Лука</w:t>
      </w:r>
      <w:r w:rsidR="00E45BC3">
        <w:rPr>
          <w:b/>
          <w:bCs/>
        </w:rPr>
        <w:t xml:space="preserve"> </w:t>
      </w:r>
    </w:p>
    <w:p w:rsid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45BC3" w:rsidRPr="00CA13ED" w:rsidRDefault="00E45BC3" w:rsidP="00E45BC3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CA13E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Об утверждении Положения </w:t>
      </w:r>
      <w:proofErr w:type="gramStart"/>
      <w:r w:rsidRPr="00CA13E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об</w:t>
      </w:r>
      <w:proofErr w:type="gramEnd"/>
    </w:p>
    <w:p w:rsidR="00E45BC3" w:rsidRPr="00CA13ED" w:rsidRDefault="00E45BC3" w:rsidP="00E45BC3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proofErr w:type="spellStart"/>
      <w:r w:rsidRPr="00CA13E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Антикоррупционной</w:t>
      </w:r>
      <w:proofErr w:type="spellEnd"/>
      <w:r w:rsidRPr="00CA13E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политики</w:t>
      </w:r>
    </w:p>
    <w:p w:rsidR="00E45BC3" w:rsidRPr="00CA13ED" w:rsidRDefault="00E45BC3" w:rsidP="00E45BC3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CA13ED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в администрации Криволукского сельского поселения</w:t>
      </w:r>
    </w:p>
    <w:p w:rsidR="00E45BC3" w:rsidRPr="00E45BC3" w:rsidRDefault="00E45BC3" w:rsidP="00E45BC3">
      <w:pPr>
        <w:spacing w:after="0" w:line="238" w:lineRule="atLeast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</w:p>
    <w:p w:rsidR="00E45BC3" w:rsidRPr="00CA13ED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A13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</w:t>
      </w:r>
      <w:proofErr w:type="gramStart"/>
      <w:r w:rsidRPr="00CA13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целях исполнения Федерального закона от 25 декабря 2008 года № 273-ФЗ «О противодействии коррупции»,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и принятия комплекса мер по совершенствованию механизма по противодействию коррупции в администрации Криволукского сельского поселения Киренского муниципального района администрация Криволукского сельского поселения Киренского муниципального района Иркутской</w:t>
      </w:r>
      <w:proofErr w:type="gramEnd"/>
      <w:r w:rsidRPr="00CA13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области</w:t>
      </w:r>
    </w:p>
    <w:p w:rsidR="00E45BC3" w:rsidRPr="00CA13ED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A13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ПОСТАНОВЛЯЕТ:</w:t>
      </w:r>
    </w:p>
    <w:p w:rsidR="00E45BC3" w:rsidRPr="00CA13ED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A13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Утвердить прилагаемое Положение об </w:t>
      </w:r>
      <w:proofErr w:type="spellStart"/>
      <w:r w:rsidRPr="00CA13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Антикоррупционной</w:t>
      </w:r>
      <w:proofErr w:type="spellEnd"/>
      <w:r w:rsidRPr="00CA13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политики в администрации Криволукского сельского поселения Киренского муниципального района Иркутской  области согласно приложению.</w:t>
      </w:r>
    </w:p>
    <w:p w:rsidR="00CA13ED" w:rsidRPr="00CA13ED" w:rsidRDefault="00E45BC3" w:rsidP="00CA13ED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A13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</w:t>
      </w:r>
      <w:proofErr w:type="gramStart"/>
      <w:r w:rsidRPr="00CA13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Ответственным</w:t>
      </w:r>
      <w:proofErr w:type="gramEnd"/>
      <w:r w:rsidRPr="00CA13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 профилактику коррупционных и иных правонарушений определить: ведущего специалиста сельской администрации Константинову Татьяну Александровну..</w:t>
      </w:r>
    </w:p>
    <w:p w:rsidR="00E45BC3" w:rsidRPr="00CA13ED" w:rsidRDefault="00E45BC3" w:rsidP="00CA13ED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A13ED">
        <w:rPr>
          <w:rFonts w:ascii="Times New Roman" w:hAnsi="Times New Roman" w:cs="Times New Roman"/>
          <w:color w:val="242424"/>
          <w:sz w:val="24"/>
          <w:szCs w:val="24"/>
        </w:rPr>
        <w:t xml:space="preserve">3. Разместить настоящее Постановление  </w:t>
      </w:r>
      <w:r w:rsidRPr="00CA13ED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proofErr w:type="gramStart"/>
      <w:r w:rsidRPr="00CA13ED">
        <w:rPr>
          <w:rFonts w:ascii="Times New Roman" w:hAnsi="Times New Roman" w:cs="Times New Roman"/>
          <w:color w:val="000000"/>
          <w:sz w:val="24"/>
          <w:szCs w:val="24"/>
        </w:rPr>
        <w:t>Киренского</w:t>
      </w:r>
      <w:proofErr w:type="gramEnd"/>
      <w:r w:rsidRPr="00CA1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13E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в разделе «Поселения района» (http://kirensk.irkobl.riO в информационно-телекоммуникационной сети «Интернет». </w:t>
      </w:r>
      <w:proofErr w:type="gramEnd"/>
    </w:p>
    <w:p w:rsidR="00E45BC3" w:rsidRPr="00CA13ED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45BC3" w:rsidRPr="00CA13ED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A13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4. Настоящее Постановление вступает в силу с момента его подписания.</w:t>
      </w:r>
    </w:p>
    <w:p w:rsidR="00E45BC3" w:rsidRPr="00CA13ED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A13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</w:t>
      </w:r>
      <w:proofErr w:type="gramStart"/>
      <w:r w:rsidRPr="00CA13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CA13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выполнением настоящего оставляю за собой.</w:t>
      </w:r>
    </w:p>
    <w:p w:rsid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45BC3" w:rsidRPr="00BD7C6A" w:rsidRDefault="00E45BC3" w:rsidP="00E45BC3">
      <w:pPr>
        <w:pStyle w:val="a3"/>
        <w:spacing w:before="0" w:beforeAutospacing="0" w:after="0" w:afterAutospacing="0"/>
        <w:jc w:val="both"/>
      </w:pPr>
      <w:r>
        <w:t xml:space="preserve">Глава </w:t>
      </w:r>
      <w:r w:rsidRPr="00BD7C6A">
        <w:t>администрации</w:t>
      </w:r>
      <w:r>
        <w:t xml:space="preserve"> </w:t>
      </w:r>
      <w:r w:rsidRPr="00BD7C6A">
        <w:t xml:space="preserve">Криволукского </w:t>
      </w:r>
      <w:r>
        <w:t xml:space="preserve">МО:__________В.И. </w:t>
      </w:r>
      <w:proofErr w:type="spellStart"/>
      <w:r>
        <w:t>Хорошева</w:t>
      </w:r>
      <w:proofErr w:type="spellEnd"/>
    </w:p>
    <w:p w:rsidR="00E45BC3" w:rsidRDefault="00E45BC3" w:rsidP="00E45BC3">
      <w:pPr>
        <w:pStyle w:val="a3"/>
        <w:spacing w:after="300" w:afterAutospacing="0"/>
        <w:jc w:val="both"/>
        <w:rPr>
          <w:b/>
          <w:bCs/>
          <w:sz w:val="30"/>
          <w:szCs w:val="30"/>
        </w:rPr>
      </w:pPr>
    </w:p>
    <w:p w:rsidR="00E45BC3" w:rsidRDefault="00E45BC3" w:rsidP="00E45BC3">
      <w:pPr>
        <w:spacing w:after="15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45BC3" w:rsidRPr="00E45BC3" w:rsidRDefault="00E45BC3" w:rsidP="00E45BC3">
      <w:pPr>
        <w:spacing w:after="150" w:line="238" w:lineRule="atLeast"/>
        <w:ind w:left="-142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Приложение к постановлению</w:t>
      </w:r>
    </w:p>
    <w:p w:rsidR="00E45BC3" w:rsidRDefault="00E45BC3" w:rsidP="00E45BC3">
      <w:pPr>
        <w:spacing w:after="150" w:line="238" w:lineRule="atLeast"/>
        <w:ind w:left="-142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администрации Криволукского</w:t>
      </w: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E45BC3" w:rsidRPr="00E45BC3" w:rsidRDefault="00E45BC3" w:rsidP="00E45BC3">
      <w:pPr>
        <w:spacing w:after="150" w:line="238" w:lineRule="atLeast"/>
        <w:ind w:left="-142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поселения </w:t>
      </w:r>
    </w:p>
    <w:p w:rsidR="00E45BC3" w:rsidRPr="00E45BC3" w:rsidRDefault="001E31D2" w:rsidP="00E45BC3">
      <w:pPr>
        <w:spacing w:after="150" w:line="238" w:lineRule="atLeast"/>
        <w:ind w:left="-142"/>
        <w:jc w:val="right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 16.06.2021 года № 40</w:t>
      </w:r>
    </w:p>
    <w:p w:rsid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                                                                   </w:t>
      </w:r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ПОЛОЖЕНИЕ</w:t>
      </w:r>
    </w:p>
    <w:p w:rsidR="00E45BC3" w:rsidRPr="00E45BC3" w:rsidRDefault="00E45BC3" w:rsidP="00E45BC3">
      <w:pPr>
        <w:spacing w:after="150" w:line="238" w:lineRule="atLeast"/>
        <w:ind w:left="-142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об </w:t>
      </w:r>
      <w:proofErr w:type="spellStart"/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Антикоррупционной</w:t>
      </w:r>
      <w:proofErr w:type="spellEnd"/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политики</w:t>
      </w:r>
    </w:p>
    <w:p w:rsidR="00E45BC3" w:rsidRPr="00E45BC3" w:rsidRDefault="00E45BC3" w:rsidP="00E45BC3">
      <w:pPr>
        <w:spacing w:after="150" w:line="238" w:lineRule="atLeast"/>
        <w:ind w:left="-142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1. Цели и задачи</w:t>
      </w:r>
    </w:p>
    <w:p w:rsidR="00E45BC3" w:rsidRPr="00E45BC3" w:rsidRDefault="00E45BC3" w:rsidP="00E45BC3">
      <w:pPr>
        <w:spacing w:after="150" w:line="238" w:lineRule="atLeast"/>
        <w:ind w:left="-142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внедрения </w:t>
      </w:r>
      <w:proofErr w:type="spellStart"/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Антикоррупционной</w:t>
      </w:r>
      <w:proofErr w:type="spellEnd"/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политики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1.1.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Антикоррупционная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политика является локальным нормативным </w:t>
      </w:r>
      <w:r w:rsidR="0030128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актом администрации Криволукского</w:t>
      </w: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</w:t>
      </w:r>
      <w:r w:rsidR="0030128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льского поселения Киренского</w:t>
      </w: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муниципального района Брянской области (далее администрация).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1.2.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Антикоррупционная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администрации соблюдение норм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антикоррупционного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законодательства Российской Федерации муниципальными служащими.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1.3. </w:t>
      </w:r>
      <w:proofErr w:type="spellStart"/>
      <w:proofErr w:type="gram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Антикоррупционная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политика разработана в соответствии с Федеральным законом Российской Федерации от 25.12.2008 № 273-ФЗ «О противодействии коррупции», Указом Президента Российской Федерации от 15.07.2015 № 364 «О мерах по совершенствованию организации деятельности в области противодействия коррупции»,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 в 2014 году.</w:t>
      </w:r>
      <w:proofErr w:type="gramEnd"/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1.4. Настоящей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Антикоррупционной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политикой устанавливаются: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основные принципы противодействия коррупции;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правовые и организационные основы предупреждения коррупции и борьбы с ней;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минимизации и (или) ликвидации последствий коррупционных правонарушений.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1.5. Основными целями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Антикоррупционной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политики являются: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предупреждение коррупции в администрации;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-формирование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антикоррупционного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сознания у муниципальных служащих администрации.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1.6. Основными задачами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Антикоррупционной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политики администрации являются: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обеспечение ответственности за коррупционные правонарушения;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мониторинг эффективности мероприятий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Антикоррупционной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политики;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установление обязанностей, связанных с предупреждением и противодействием коррупции муниципальных служащих администрации.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1.7. В соответствии со ст.13.3 Федерального закона Российской Федерации от 25.12.2008 № 273-ФЗ «О противодействии коррупции» меры по предупреждению коррупции, принимаемые </w:t>
      </w:r>
      <w:proofErr w:type="gram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proofErr w:type="gram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администрацией, могут включать: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сотрудничество администрации с правоохранительными органами;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3) разработку и внедрение в практику стандартов и процедур, направленных на обеспечение добросовестной работы администрации;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4) принятие кодекса этики и служебного поведения работников администрации;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5) предотвращение и урегулирование конфликта интересов муниципальных служащих;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2. Используемые в </w:t>
      </w:r>
      <w:proofErr w:type="spellStart"/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Антикоррупционной</w:t>
      </w:r>
      <w:proofErr w:type="spellEnd"/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политике понятия и определения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№ 273-ФЗ «О противодействии коррупции»).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№ 273-ФЗ «О противодействии коррупции»):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</w:t>
      </w: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Личная заинтересованность работника (представителя учреждения) – 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3. Основные принципы </w:t>
      </w:r>
      <w:proofErr w:type="spellStart"/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Антикоррупционной</w:t>
      </w:r>
      <w:proofErr w:type="spellEnd"/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деятельности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Система мер противодействия коррупции в администрации основывается на следующих ключевых принципах.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3.1. Принцип соответствия политики администрации действующему законодательству и общепринятым нормам.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Соответствие реализуемых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антикоррупционных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администрации.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3.2. Принцип личного примера руководства.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Ключевая роль руководства администрации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3.3. Принцип вовлеченности работников.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Информированность муниципальных служащих администрации о положениях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антикоррупционного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антикоррупционных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стандартов и процедур.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3.4. Принцип соразмерности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антикоррупционных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процедур риску коррупции.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муниципальных служащих администрации, ее руководителей и работников в коррупционную деятельность, осуществляется с учетом существующих в деятельности коррупционных рисков.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3.5. Принцип эффективности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антикоррупционных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процедур.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Применение в администрации таких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антикоррупционных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приносят значимый результат</w:t>
      </w:r>
      <w:proofErr w:type="gram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3.6. Принцип ответственности и неотвратимости наказания.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Неотвратимость наказания для муниципальных служащих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администрации за реализацию внутриорганизационной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антикоррупционной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политики.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3.7. Принцип открытости.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Информирование контрагентов, партнеров и общественности о принятых в администрации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антикоррупционных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стандартах ведения деятельности.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3.8. Принцип постоянного контроля и регулярного мониторинга.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Регулярное осуществление мониторинга эффективности внедренных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антикоррупционных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стандартов и процедур, а также </w:t>
      </w:r>
      <w:proofErr w:type="gram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за</w:t>
      </w:r>
      <w:proofErr w:type="gram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их исполнением.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4. Область применения </w:t>
      </w:r>
      <w:proofErr w:type="spellStart"/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Антикоррупционной</w:t>
      </w:r>
      <w:proofErr w:type="spellEnd"/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политики и круг лиц, попадающих под ее действие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4.1. Основным кругом лиц, попадающих под действие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Антикоррупционной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политики, являются муниципальные служащие администрации, находящиеся с ней в трудовых отношениях, вне зависимости от занимаемой должности и выполняемых функций.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Антикоррупционная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политика распространяется и на лиц, выполняющих для администрации работы, или предоставляющих услуги на основе гражданско-правовых договоров. В этом случае соответствующие положения нужно включить в текст договоров.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5. Определение должностных лиц, ответственных за реализацию </w:t>
      </w:r>
      <w:proofErr w:type="spellStart"/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Антикоррупционной</w:t>
      </w:r>
      <w:proofErr w:type="spellEnd"/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политики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5.1. Руководство администрации определяет должностных лиц, ответственных за противодействие коррупции, исходя из собственных потребностей, задач, специфики деятельности, штатной численности, организационной структуры, материальных ресурсов и др. признаков.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Задачи, функции и полномочия должностных лиц, ответственных за противодействие коррупции, должны быть определены в трудовых договорах или должностных инструкциях ответственных работников;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Эти обязанности включают в частности: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разработку локальных нормативных актов администрации, направленных на реализацию мер по предупреждению коррупции;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проведение контрольных мероприятий, направленных на выявление коррупционных правонарушений муниципальными служащими администрации;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организация проведения оценки коррупционных рисков;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прием и рассмотрение сообщений о случаях склонения муниципальных служащих к совершению коррупционных правонарушений в интересах, или от имени иной организации, а также о случаях совершения коррупционных правонарушений работниками, контрагентами или иными лицами;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организация обучающих мероприятий по вопросам профилактики и противодействия коррупции и индивидуального консультирования муниципальных служащих;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проведение оценки результатов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антикоррупционной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работы и подготовка соответствующих отчетных материалов.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6. Определение и закрепление обязанностей муниципальных служащих, связанных с предупреждением и противодействием коррупции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6.1. Обязанности муниципальных служащих администрации в связи с предупреждением и противодействием коррупции являются общими для всех муниципальных служащих.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6.2. Общими обязанностями муниципальных служащих в связи с предупреждением и противодействием коррупции являются следующие: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воздерживаться от совершения и (или) участия в совершении коррупционных правонарушений в интересах или от имени администрации;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администрации;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незамедлительно информировать руководство администрации о случаях склонения муниципального служащего к совершению коррупционных правонарушений;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незамедлительно информировать руководство администрации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сообщить непосредственному руководителю или иному ответственному лицу о возможности возникновения либо возникшем у муниципального служащего конфликте интересов.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6.3. Специальные обязанности в связи с предупреждением и противодействием коррупции могут устанавливаться для муниципальных служащих ответственных за реализацию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антикоррупционной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политики.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6.4. В целях обеспечения эффективного исполнения возложенных на муниципальных работников обязанностей регламентируются процедуры их соблюдения.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Исходя их положений статьи 57 ТК РФ по соглашению сторон в трудовой договор, заключаемый с работником при приёме его на работу в администрацию, могут включаться права и обязанности муниципального служащего и работодателя, установленные данным локальным нормативным актом.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7. Установление перечня </w:t>
      </w:r>
      <w:proofErr w:type="gramStart"/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реализуемых</w:t>
      </w:r>
      <w:proofErr w:type="gramEnd"/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администрацией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антикоррупционных</w:t>
      </w:r>
      <w:proofErr w:type="spellEnd"/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мероприятий, стандартов и процедур и порядок их выполнения (применения)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7.1. Администрация устанавливает следующий перечень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антикоррупционных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 и порядок их выполнения (применения).</w:t>
      </w:r>
    </w:p>
    <w:p w:rsidR="00CA13ED" w:rsidRDefault="00CA13ED" w:rsidP="00301285">
      <w:pPr>
        <w:spacing w:line="238" w:lineRule="atLeast"/>
        <w:ind w:left="-142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301285" w:rsidRDefault="00CA13ED" w:rsidP="00301285">
      <w:pPr>
        <w:spacing w:line="238" w:lineRule="atLeast"/>
        <w:ind w:left="-142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="00E45BC3"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ЕРЕЧЕНЬ</w:t>
      </w:r>
    </w:p>
    <w:tbl>
      <w:tblPr>
        <w:tblStyle w:val="a5"/>
        <w:tblW w:w="0" w:type="auto"/>
        <w:tblInd w:w="-142" w:type="dxa"/>
        <w:tblLook w:val="04A0"/>
      </w:tblPr>
      <w:tblGrid>
        <w:gridCol w:w="5024"/>
        <w:gridCol w:w="5024"/>
      </w:tblGrid>
      <w:tr w:rsidR="00301285" w:rsidRPr="00E8323A" w:rsidTr="00301285">
        <w:tc>
          <w:tcPr>
            <w:tcW w:w="5024" w:type="dxa"/>
          </w:tcPr>
          <w:p w:rsidR="00301285" w:rsidRPr="00E8323A" w:rsidRDefault="00E8323A" w:rsidP="0030128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83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24" w:type="dxa"/>
          </w:tcPr>
          <w:p w:rsidR="00301285" w:rsidRPr="00E8323A" w:rsidRDefault="00E8323A" w:rsidP="00301285">
            <w:pPr>
              <w:spacing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8323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8323A" w:rsidRPr="00E8323A" w:rsidTr="00301285">
        <w:tc>
          <w:tcPr>
            <w:tcW w:w="5024" w:type="dxa"/>
            <w:vMerge w:val="restart"/>
          </w:tcPr>
          <w:p w:rsidR="00CA13ED" w:rsidRDefault="00CA13ED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</w:pPr>
          </w:p>
          <w:p w:rsidR="00CA13ED" w:rsidRDefault="00CA13ED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</w:pPr>
          </w:p>
          <w:p w:rsidR="00CA13ED" w:rsidRDefault="00CA13ED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</w:pPr>
          </w:p>
          <w:p w:rsidR="00E8323A" w:rsidRPr="00E8323A" w:rsidRDefault="00E8323A" w:rsidP="00E8323A">
            <w:pPr>
              <w:spacing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  <w:t>Нормативное обеспечение, закрепление стандартов поведения и декларация намерений.</w:t>
            </w:r>
          </w:p>
        </w:tc>
        <w:tc>
          <w:tcPr>
            <w:tcW w:w="5024" w:type="dxa"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E8323A" w:rsidRPr="00E8323A" w:rsidTr="00301285">
        <w:tc>
          <w:tcPr>
            <w:tcW w:w="5024" w:type="dxa"/>
            <w:vMerge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</w:tr>
      <w:tr w:rsidR="00E8323A" w:rsidRPr="00E8323A" w:rsidTr="00301285">
        <w:tc>
          <w:tcPr>
            <w:tcW w:w="5024" w:type="dxa"/>
            <w:vMerge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  <w:t xml:space="preserve">Введение </w:t>
            </w:r>
            <w:proofErr w:type="spellStart"/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  <w:t>антикоррупционных</w:t>
            </w:r>
            <w:proofErr w:type="spellEnd"/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  <w:t xml:space="preserve"> положений в трудовые договора работников</w:t>
            </w:r>
          </w:p>
        </w:tc>
      </w:tr>
      <w:tr w:rsidR="00E8323A" w:rsidRPr="00E8323A" w:rsidTr="00301285">
        <w:tc>
          <w:tcPr>
            <w:tcW w:w="5024" w:type="dxa"/>
            <w:vMerge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Введение процедуры информирования муниципального служащего работодателя о </w:t>
            </w:r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>случаях склонения их к совершению коррупционных нарушений и порядка рассмотрения таких сообщений.</w:t>
            </w:r>
          </w:p>
        </w:tc>
      </w:tr>
      <w:tr w:rsidR="00E8323A" w:rsidRPr="00E8323A" w:rsidTr="00E8323A">
        <w:tc>
          <w:tcPr>
            <w:tcW w:w="5024" w:type="dxa"/>
            <w:tcBorders>
              <w:top w:val="nil"/>
            </w:tcBorders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  <w:t>Введение процедуры информирования работодателя о ставшей известной муниципальным служащим информации о случаях совершения коррупционных правонарушений другими работниками, контрагентами администрации или иными лицами и порядка рассмотрения таких сообщений.</w:t>
            </w:r>
          </w:p>
        </w:tc>
      </w:tr>
      <w:tr w:rsidR="00E8323A" w:rsidRPr="00E8323A" w:rsidTr="00301285">
        <w:tc>
          <w:tcPr>
            <w:tcW w:w="5024" w:type="dxa"/>
            <w:vMerge w:val="restart"/>
          </w:tcPr>
          <w:p w:rsidR="00CA13ED" w:rsidRDefault="00CA13ED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  <w:p w:rsidR="00CA13ED" w:rsidRDefault="00CA13ED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  <w:p w:rsidR="00CA13ED" w:rsidRDefault="00CA13ED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  <w:p w:rsidR="00CA13ED" w:rsidRDefault="00CA13ED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  <w:p w:rsidR="00CA13ED" w:rsidRDefault="00CA13ED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  <w:p w:rsidR="00E8323A" w:rsidRPr="00E8323A" w:rsidRDefault="00E8323A" w:rsidP="00E8323A">
            <w:pPr>
              <w:spacing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антикоррупционных</w:t>
            </w:r>
            <w:proofErr w:type="spellEnd"/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процедур</w:t>
            </w:r>
          </w:p>
        </w:tc>
        <w:tc>
          <w:tcPr>
            <w:tcW w:w="5024" w:type="dxa"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Введение процедуры информирования муниципальными служащими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E8323A" w:rsidRPr="00E8323A" w:rsidTr="00301285">
        <w:tc>
          <w:tcPr>
            <w:tcW w:w="5024" w:type="dxa"/>
            <w:vMerge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5024" w:type="dxa"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  <w:t>Введение процедур защиты муниципального служащего,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E8323A" w:rsidRPr="00E8323A" w:rsidTr="00301285">
        <w:tc>
          <w:tcPr>
            <w:tcW w:w="5024" w:type="dxa"/>
            <w:vMerge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5024" w:type="dxa"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администрации, наиболее подверженных таким рискам, и разработки соответствующих </w:t>
            </w:r>
            <w:proofErr w:type="spellStart"/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антикоррупционных</w:t>
            </w:r>
            <w:proofErr w:type="spellEnd"/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мер</w:t>
            </w:r>
          </w:p>
        </w:tc>
      </w:tr>
      <w:tr w:rsidR="00E8323A" w:rsidRPr="00E8323A" w:rsidTr="00301285">
        <w:tc>
          <w:tcPr>
            <w:tcW w:w="5024" w:type="dxa"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  <w:t>Информирование муниципальных служащих</w:t>
            </w:r>
          </w:p>
        </w:tc>
        <w:tc>
          <w:tcPr>
            <w:tcW w:w="5024" w:type="dxa"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  <w:t>Ежегодное ознакомление муниципальных служащих с нормативными документами, регламентирующими вопросы предупреждения и противодействия коррупции в администрации</w:t>
            </w:r>
          </w:p>
        </w:tc>
      </w:tr>
      <w:tr w:rsidR="00E8323A" w:rsidRPr="00E8323A" w:rsidTr="00301285">
        <w:tc>
          <w:tcPr>
            <w:tcW w:w="5024" w:type="dxa"/>
            <w:vMerge w:val="restart"/>
          </w:tcPr>
          <w:p w:rsidR="00CA13ED" w:rsidRDefault="00CA13ED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  <w:p w:rsidR="00CA13ED" w:rsidRDefault="00CA13ED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  <w:p w:rsidR="00CA13ED" w:rsidRDefault="00CA13ED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  <w:p w:rsidR="00E8323A" w:rsidRPr="00E8323A" w:rsidRDefault="00E8323A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</w:pPr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Обеспечение соответствия системы внутреннего контроля и аудита администрации требованиям </w:t>
            </w:r>
            <w:proofErr w:type="spellStart"/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антикоррупционной</w:t>
            </w:r>
            <w:proofErr w:type="spellEnd"/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политики</w:t>
            </w:r>
          </w:p>
        </w:tc>
        <w:tc>
          <w:tcPr>
            <w:tcW w:w="5024" w:type="dxa"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</w:pPr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E8323A" w:rsidRPr="00E8323A" w:rsidTr="00301285">
        <w:tc>
          <w:tcPr>
            <w:tcW w:w="5024" w:type="dxa"/>
            <w:vMerge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</w:pPr>
          </w:p>
        </w:tc>
        <w:tc>
          <w:tcPr>
            <w:tcW w:w="5024" w:type="dxa"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</w:pPr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E8323A" w:rsidRPr="00E8323A" w:rsidTr="00301285">
        <w:tc>
          <w:tcPr>
            <w:tcW w:w="5024" w:type="dxa"/>
            <w:vMerge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</w:pPr>
          </w:p>
        </w:tc>
        <w:tc>
          <w:tcPr>
            <w:tcW w:w="5024" w:type="dxa"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</w:pPr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E8323A" w:rsidRPr="00E8323A" w:rsidTr="00301285">
        <w:tc>
          <w:tcPr>
            <w:tcW w:w="5024" w:type="dxa"/>
            <w:vMerge w:val="restart"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</w:pPr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  <w:t xml:space="preserve">Оценка результатов проводимой </w:t>
            </w:r>
            <w:proofErr w:type="spellStart"/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  <w:t>антикоррупционной</w:t>
            </w:r>
            <w:proofErr w:type="spellEnd"/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  <w:t xml:space="preserve"> работы и распространение отчетных материалов</w:t>
            </w:r>
          </w:p>
        </w:tc>
        <w:tc>
          <w:tcPr>
            <w:tcW w:w="5024" w:type="dxa"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</w:pPr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E8323A" w:rsidRPr="00E8323A" w:rsidTr="00301285">
        <w:tc>
          <w:tcPr>
            <w:tcW w:w="5024" w:type="dxa"/>
            <w:vMerge/>
          </w:tcPr>
          <w:p w:rsidR="00E8323A" w:rsidRPr="00E8323A" w:rsidRDefault="00E8323A" w:rsidP="00301285">
            <w:pPr>
              <w:spacing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</w:pPr>
          </w:p>
        </w:tc>
        <w:tc>
          <w:tcPr>
            <w:tcW w:w="5024" w:type="dxa"/>
          </w:tcPr>
          <w:p w:rsidR="00E8323A" w:rsidRPr="00E8323A" w:rsidRDefault="00E8323A" w:rsidP="00E8323A">
            <w:pPr>
              <w:spacing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2FAFE"/>
              </w:rPr>
            </w:pPr>
            <w:r w:rsidRPr="00E8323A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301285" w:rsidRPr="00E8323A" w:rsidRDefault="00301285" w:rsidP="00301285">
      <w:pPr>
        <w:spacing w:line="238" w:lineRule="atLeast"/>
        <w:ind w:left="-142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A13ED" w:rsidRDefault="00CA13ED" w:rsidP="00CA13ED">
      <w:pPr>
        <w:spacing w:line="238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E45BC3" w:rsidRPr="00E45BC3" w:rsidRDefault="00E45BC3" w:rsidP="00CA13ED">
      <w:pPr>
        <w:spacing w:line="238" w:lineRule="atLeast"/>
        <w:ind w:left="-142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Оценка коррупционных рисков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Оценка коррупционных рисков является важнейшим элементом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Антикоррупционной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политики. Она позволяет обеспечить соответствие реализуемых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антикоррупционных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 специфике деятельности администрации и рационально использовать ресурсы, направляемые на проведение работы по профилактике коррупции.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Оценка коррупционных рисков проводится как на стадии разработки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Антикоррупционной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политики, так и после ее утверждения на регулярной основе.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Целью оценки коррупционных рисков является определение конкретных процессов и видов деятельности администрации, при реализации которых наиболее высока вероятность совершения работниками коррупционных правонарушений, как в целях получения личной выгоды, так и в целях получения выгоды администрацией.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8. Ответственность муниципальных служащих за несоблюдение требований </w:t>
      </w:r>
      <w:proofErr w:type="spellStart"/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Антикоррупционной</w:t>
      </w:r>
      <w:proofErr w:type="spellEnd"/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политики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8.1. Своевременное выявление конфликта интересов в деятельности муниципальных служащих администрации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 С целью регулирования и предотвращения конфликта интересов в деятельности муниципальных служащих следует (принять) принятое реализовывать Положение о конфликте интересов.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Положение о конфликте интересов – это внутренний документ администрации, устанавливающий порядок выявления и урегулирования конфликтов интересов, возникающих у муниципальных служащих в ходе выполнения ими трудовых обязанностей.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8.2. Федеральным законом от 06.12.2011 № 402-ФЗ «О бухгалтерском учете» установлена обязанность организации </w:t>
      </w:r>
      <w:proofErr w:type="gram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осуществлять</w:t>
      </w:r>
      <w:proofErr w:type="gram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Система внутреннего контроля и аудита учреждения может способствовать профилактике и выявлению коррупционных правонарушений в деятельности администрации.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образовательной организации и обеспечение соответствия деятельности образовательной организации требованиям нормативных правовых актов и локальных нормативных актов. Для этого система внутреннего контроля и аудита должна учитывать требования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антикоррупционной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политики, реализуемой администрацией, в том числе: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контроль документирования операций хозяйственной деятельности администрации.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Контроль документирования операций хозяйственной деятельности, прежде всего, связан с обязанностью ведения финансовой (бухгалтерской) отчетности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проверка экономической обоснованности осуществляемых операций в сферах коррупционного риска.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например: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оплата услуг, характер которых не определен либо вызывает сомнения;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аффилированных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лиц и контрагентов;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закупки или продажи по ценам, значительно отличающимся от </w:t>
      </w:r>
      <w:proofErr w:type="gram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рыночных</w:t>
      </w:r>
      <w:proofErr w:type="gram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сомнительные платежи наличными.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8.4. В рамках проводимых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антикоррупционных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мероприятий руководству администрации и муниципальным служащим следует также обратить внимание на положения законодательства, регулирующие противодействие легализации денежных средств, полученных незаконным способом, в том числе: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9. Порядок пересмотра и внесения изменений в </w:t>
      </w:r>
      <w:proofErr w:type="spellStart"/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Антикоррупционную</w:t>
      </w:r>
      <w:proofErr w:type="spellEnd"/>
      <w:r w:rsidRPr="00E45BC3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политику администрации</w:t>
      </w:r>
    </w:p>
    <w:p w:rsidR="00E45BC3" w:rsidRPr="00E45BC3" w:rsidRDefault="00E45BC3" w:rsidP="00E45BC3">
      <w:pPr>
        <w:spacing w:after="150" w:line="238" w:lineRule="atLeast"/>
        <w:ind w:left="-142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9.1.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Антикоррупционная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политика может быть пересмотрена, в нее могут быть внесены изменения в случае изменения законодательства РФ. Конкретизация отдельных аспектов </w:t>
      </w:r>
      <w:proofErr w:type="spellStart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Антикоррупционной</w:t>
      </w:r>
      <w:proofErr w:type="spellEnd"/>
      <w:r w:rsidRPr="00E45BC3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политики может осуществляться путем разработки дополнений и приложений. </w:t>
      </w:r>
    </w:p>
    <w:p w:rsidR="00411054" w:rsidRPr="00E45BC3" w:rsidRDefault="00411054" w:rsidP="00E45BC3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411054" w:rsidRPr="00E45BC3" w:rsidSect="00E45BC3">
      <w:pgSz w:w="11900" w:h="16840" w:code="9"/>
      <w:pgMar w:top="568" w:right="843" w:bottom="1418" w:left="1225" w:header="0" w:footer="6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5BC3"/>
    <w:rsid w:val="00080753"/>
    <w:rsid w:val="00116963"/>
    <w:rsid w:val="00175C78"/>
    <w:rsid w:val="001E172D"/>
    <w:rsid w:val="001E31D2"/>
    <w:rsid w:val="001E7268"/>
    <w:rsid w:val="00301285"/>
    <w:rsid w:val="00397F28"/>
    <w:rsid w:val="00411054"/>
    <w:rsid w:val="00422B67"/>
    <w:rsid w:val="0048409E"/>
    <w:rsid w:val="00611CE7"/>
    <w:rsid w:val="0064168F"/>
    <w:rsid w:val="009127E9"/>
    <w:rsid w:val="009F2085"/>
    <w:rsid w:val="00AD75AE"/>
    <w:rsid w:val="00AF600F"/>
    <w:rsid w:val="00BE66DF"/>
    <w:rsid w:val="00CA13ED"/>
    <w:rsid w:val="00E45BC3"/>
    <w:rsid w:val="00E8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54"/>
  </w:style>
  <w:style w:type="paragraph" w:styleId="1">
    <w:name w:val="heading 1"/>
    <w:basedOn w:val="a"/>
    <w:link w:val="10"/>
    <w:uiPriority w:val="9"/>
    <w:qFormat/>
    <w:rsid w:val="00E45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45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B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E4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5BC3"/>
    <w:rPr>
      <w:color w:val="0000FF"/>
      <w:u w:val="single"/>
    </w:rPr>
  </w:style>
  <w:style w:type="table" w:styleId="a5">
    <w:name w:val="Table Grid"/>
    <w:basedOn w:val="a1"/>
    <w:uiPriority w:val="59"/>
    <w:rsid w:val="0030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1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2024-02-20T00:42:00Z</dcterms:created>
  <dcterms:modified xsi:type="dcterms:W3CDTF">2024-02-20T03:03:00Z</dcterms:modified>
</cp:coreProperties>
</file>